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34d0839ba466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14478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Ivana Perkovca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1.888.717,35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2.111.521,19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1.870.639,83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2.184.193,94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72.672,75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60.251,81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22.909,42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60.251,81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4.831,90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132.924,56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2751,0</w:t>
            </w:r>
          </w:p>
        </w:tc>
      </w:tr>
    </w:tbl>
    <w:p>
      <w:pPr>
        <w:spacing w:before="0" w:after="0"/>
      </w:pPr>
    </w:p>
    <w:p>
      <w:r>
        <w:t xml:space="preserve">Manjak prihoda i primitaka u 2025. godini se očituje u priznavanju rashoda za plaće u tekućem obračunskom razdoblju, a ne više kao rashodi budućih razdoblja u sklopu aktivnih vremenskih razgraničenja. U 2025. godini imamo prikazan rashod za 13 plaća, a prihod za 12 plaća, što dovodi do manjka prihoda i primitaka u obračunskom razdoblju.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1.649.591,56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1.783.372,60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Pomoći proračunskim korisnicima iz proračuna koji im nije nadležan obuhvaća prihode za financiranje rashoda za plaće iz državnog i općinskog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226,6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obuhvaćaju prihode dobivene za sufinanciranje organizacije i prijevoza učenika na natjecanja i smotre.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27.625,19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22.163,98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80,2</w:t>
            </w:r>
          </w:p>
        </w:tc>
      </w:tr>
    </w:tbl>
    <w:p>
      <w:pPr>
        <w:spacing w:before="0" w:after="0"/>
      </w:pPr>
    </w:p>
    <w:p>
      <w:r>
        <w:t xml:space="preserve">Bilježi se smanjenje prihoda za sufinanciranje programa produženog boravka zbog manjeg broja upisane djece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6.357,86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9.081,98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142,8</w:t>
            </w:r>
          </w:p>
        </w:tc>
      </w:tr>
    </w:tbl>
    <w:p>
      <w:pPr>
        <w:spacing w:before="0" w:after="0"/>
      </w:pPr>
    </w:p>
    <w:p>
      <w:r>
        <w:t xml:space="preserve">Bilježi se porast prihoda od najma dvorane i učionice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183.704,24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288.635,22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157,1</w:t>
            </w:r>
          </w:p>
        </w:tc>
      </w:tr>
    </w:tbl>
    <w:p>
      <w:pPr>
        <w:spacing w:before="0" w:after="0"/>
      </w:pPr>
    </w:p>
    <w:p>
      <w:r>
        <w:t xml:space="preserve">Porast prihoda za financiranje rashoda poslovanja očituje se ponajviše u troškovima plaća Pomoćnika u nastavi obzirom da preko ljetnih praznika nije bilo prekidanja ugovora kao proteklih godina i financiranje izrade projekta za rekonstrukciju i dogradnju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17.662,81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22,3</w:t>
            </w:r>
          </w:p>
        </w:tc>
      </w:tr>
    </w:tbl>
    <w:p>
      <w:pPr>
        <w:spacing w:before="0" w:after="0"/>
      </w:pPr>
    </w:p>
    <w:p>
      <w:r>
        <w:t xml:space="preserve">Smanjenje prihoda u odnosu na proteklu godinu kada se radilo na ugradnji kamera i tehničke zaštite.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1.264.132,93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1.521.478,60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Porast rashoda za bruto plaće zaposlenih se očituje ponajviše u načinu knjiženja. Prethodno razdoblje su plaće knjižene na kontinuirane buduće rashode, konto 193, a po novom pravilniku se knjiže na rashode za plaće, konto 311.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1.264.132,93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1.521.478,60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314.247,84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330.981,95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r>
        <w:t xml:space="preserve">Uslijed povećanja cijena na tržištu, dosšlo je i do povećanja rashoda za financiranje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258,3</w:t>
            </w:r>
          </w:p>
        </w:tc>
      </w:tr>
    </w:tbl>
    <w:p>
      <w:pPr>
        <w:spacing w:before="0" w:after="0"/>
      </w:pPr>
    </w:p>
    <w:p>
      <w:r>
        <w:t xml:space="preserve">Troškovi sudskih postupaka su povećani u odnosu na prethodno razdoblje zbog isplata tužbi za plaće iz 2016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1394,9</w:t>
            </w:r>
          </w:p>
        </w:tc>
      </w:tr>
    </w:tbl>
    <w:p>
      <w:pPr>
        <w:spacing w:before="0" w:after="0"/>
      </w:pPr>
    </w:p>
    <w:p>
      <w:r>
        <w:t xml:space="preserve">Uslijed isplata plaća za 2016. godinu po sudskim presudama morale su se isplatiti i zatezne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201,5</w:t>
            </w:r>
          </w:p>
        </w:tc>
      </w:tr>
    </w:tbl>
    <w:p>
      <w:pPr>
        <w:spacing w:before="0" w:after="0"/>
      </w:pPr>
    </w:p>
    <w:p>
      <w:r>
        <w:t xml:space="preserve">Tekuće pomoći drugom proračunu i izvanproračunskim korisnicima obuhvaćaju rashode za sufinanciranje organizacije i prijevoza učenika na natjecanja i smotre.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25.144,93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14.127,58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56,2</w:t>
            </w:r>
          </w:p>
        </w:tc>
      </w:tr>
    </w:tbl>
    <w:p>
      <w:pPr>
        <w:spacing w:before="0" w:after="0"/>
      </w:pPr>
    </w:p>
    <w:p>
      <w:r>
        <w:t xml:space="preserve">Velika razlika se očituje u načinu knjiženja nabave udžbenika koje financira MZOM, proteklih godina su udžbenici knjiženi kao naknade građanima u naravi, a ove godine kao knjige.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159.185,28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8033,5</w:t>
            </w:r>
          </w:p>
        </w:tc>
      </w:tr>
    </w:tbl>
    <w:p>
      <w:pPr>
        <w:spacing w:before="0" w:after="0"/>
      </w:pPr>
    </w:p>
    <w:p>
      <w:r>
        <w:t xml:space="preserve">Obračunati prihodi poslovanja - nenaplaćenih obuhvaćaju potraživanja za prihode za financiranje plaća iz državnog proračuna za prosinac 2025. godine, kao i za financiranje rashoda za materijal i sirovine te prijevoz učenika s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25.927,50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276,6</w:t>
            </w:r>
          </w:p>
        </w:tc>
      </w:tr>
    </w:tbl>
    <w:p>
      <w:pPr>
        <w:spacing w:before="0" w:after="0"/>
      </w:pPr>
    </w:p>
    <w:p>
      <w:r>
        <w:t xml:space="preserve">Troškovi na poslovnim objektima su povećani zbog projekta dogradnje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4.975,19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987,1</w:t>
            </w:r>
          </w:p>
        </w:tc>
      </w:tr>
    </w:tbl>
    <w:p>
      <w:pPr>
        <w:spacing w:before="0" w:after="0"/>
      </w:pPr>
    </w:p>
    <w:p>
      <w:r>
        <w:t xml:space="preserve">Nabavljena je nova uredska oprema - fotokopirni stroj i 2 računala za potrebe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Radilo se na izmjenama sigurnosnog sustava i postavljanju kamera za nadzor.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1.628,73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sklopu projekta MZOM-a nabavljena su nova glazbala za školski glazbeni sastav.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4.742,61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24.400,39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514,5</w:t>
            </w:r>
          </w:p>
        </w:tc>
      </w:tr>
    </w:tbl>
    <w:p>
      <w:pPr>
        <w:spacing w:before="0" w:after="0"/>
      </w:pPr>
    </w:p>
    <w:p>
      <w:r>
        <w:t xml:space="preserve">Velika razlika se očituje u načinu knjiženja nabave udžbenika koje financira MZOM, proteklih godina su udžbenici knjiženi kao naknade građanima u naravi, a ove godine kao knjige.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17.098,76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</w:t>
            </w:r>
          </w:p>
        </w:tc>
      </w:tr>
    </w:tbl>
    <w:p>
      <w:pPr>
        <w:spacing w:before="0" w:after="0"/>
      </w:pPr>
    </w:p>
    <w:p>
      <w:r>
        <w:t xml:space="preserve">Znatno smanjenje sredstava na žiroračunu škole zbog zatvaranje poslovnog računa škole i prelaska na jedinstveni račun riznice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50.300,20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74.700,59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148,5</w:t>
            </w:r>
          </w:p>
        </w:tc>
      </w:tr>
    </w:tbl>
    <w:p>
      <w:pPr>
        <w:spacing w:before="0" w:after="0"/>
      </w:pPr>
    </w:p>
    <w:p>
      <w:r>
        <w:t xml:space="preserve">Povećanje vrijednosti knjiga zbog knjiženja udžbenika na konto za knjige.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17.098,76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6,0</w:t>
            </w:r>
          </w:p>
        </w:tc>
      </w:tr>
    </w:tbl>
    <w:p>
      <w:pPr>
        <w:spacing w:before="0" w:after="0"/>
      </w:pPr>
    </w:p>
    <w:p>
      <w:r>
        <w:t xml:space="preserve">Smanjenje novčanih sredstava zbog prijenosa na račun riznice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Novac na računu kod tuzemnih poslovnih banaka prebačen na jedinstveni račun riznice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2828,2</w:t>
            </w:r>
          </w:p>
        </w:tc>
      </w:tr>
    </w:tbl>
    <w:p>
      <w:pPr>
        <w:spacing w:before="0" w:after="0"/>
      </w:pPr>
    </w:p>
    <w:p>
      <w:r>
        <w:t xml:space="preserve">Uslijed prijenosa i ukidanja poslovnog računa, ostalo je sredstava u blagajni koja će biti uplaćena na jedinstveni račun riznice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156.158,89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pomoći proračunskim korisnicima iz proračuna koji im nije nadležan obuhvaća potraživanja za plaće za prosinac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622,5</w:t>
            </w:r>
          </w:p>
        </w:tc>
      </w:tr>
    </w:tbl>
    <w:p>
      <w:pPr>
        <w:spacing w:before="0" w:after="0"/>
      </w:pPr>
    </w:p>
    <w:p>
      <w:r>
        <w:t xml:space="preserve">Poštraživanja za posebne namjene obuhvaćaju potraživanje sredstava za sufinanciranje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</w:tbl>
    <w:p>
      <w:pPr>
        <w:spacing w:before="0" w:after="0"/>
      </w:pPr>
    </w:p>
    <w:p>
      <w:r>
        <w:t xml:space="preserve">Obuhvaća potraživanja za najam školske dvorane i učionice.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7.903,22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Sredstva prenesena sa žiroračuna škole na račun riznice Zagrebačke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6,8</w:t>
            </w:r>
          </w:p>
        </w:tc>
      </w:tr>
    </w:tbl>
    <w:p>
      <w:pPr>
        <w:spacing w:before="0" w:after="0"/>
      </w:pPr>
    </w:p>
    <w:p>
      <w:r>
        <w:t xml:space="preserve">Obuhvaća sredstva za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-130.213,95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-4803,9</w:t>
            </w:r>
          </w:p>
        </w:tc>
      </w:tr>
    </w:tbl>
    <w:p>
      <w:pPr>
        <w:spacing w:before="0" w:after="0"/>
      </w:pPr>
    </w:p>
    <w:p>
      <w:r>
        <w:t xml:space="preserve">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130.213,95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je nastao uslijed knjiženja rashoda za plaće izravno na trošak, a ne preko kontinuiranih rashoda. Knjiženo je 13 rashoda za plaće a 12 prihoda za pokriće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156.158,89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 zaposlenih za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154.911,55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142.515,44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92,0</w:t>
            </w:r>
          </w:p>
        </w:tc>
      </w:tr>
    </w:tbl>
    <w:p>
      <w:pPr>
        <w:spacing w:before="0" w:after="0"/>
      </w:pPr>
    </w:p>
    <w:p>
      <w:r>
        <w:t xml:space="preserve">Nedospjele obveze za rashode poslovanja - obuhvaćaju obveze za plaće zaposlenika te obveze prema dobavljačima za nabavu materijala i sirovina.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1.830.147,44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2.181.198,59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</w:tbl>
    <w:p>
      <w:pPr>
        <w:spacing w:before="0" w:after="0"/>
      </w:pPr>
    </w:p>
    <w:p>
      <w:r>
        <w:t xml:space="preserve">Rashodi za financiranje poslovanja i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63.401,81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63.247,16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99,8</w:t>
            </w:r>
          </w:p>
        </w:tc>
      </w:tr>
    </w:tbl>
    <w:p>
      <w:pPr>
        <w:spacing w:before="0" w:after="0"/>
      </w:pPr>
    </w:p>
    <w:p>
      <w:r>
        <w:t xml:space="preserve">Obuhvaćaju rashode za nabavu materijala i sirovina.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su podmirene u tekućem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142.534,62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142.515,44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obuhvaćaju obveze za plaće zaposlenih i obveze za materijal i sirovine.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koje obuhvaćaju naknade za bolovanja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Obrazac EU izvještaja sadrži prihode i rashode za financiranje plaća i ostalih materijalnih rashoda vezanih za Pomoćnike u nastavi - Prsten potpore.</w:t>
      </w:r>
    </w:p>
    <w:p>
      <w:r>
        <w:t xml:space="preserve">Rashodi se financiraju iz Općih prihoda i primitka - 26% i iz Europskog socijalnog fonda plus - 74%.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442d48f6de458f" /></Relationships>
</file>