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5FB52AE8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bookmarkStart w:id="1" w:name="_GoBack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9C268A">
        <w:rPr>
          <w:rFonts w:cs="Arial"/>
        </w:rPr>
        <w:t>24</w:t>
      </w:r>
      <w:r w:rsidR="006116CF">
        <w:rPr>
          <w:rFonts w:cs="Arial"/>
        </w:rPr>
        <w:t>.</w:t>
      </w:r>
      <w:r w:rsidR="005A461A">
        <w:rPr>
          <w:rFonts w:cs="Arial"/>
        </w:rPr>
        <w:t>01</w:t>
      </w:r>
      <w:r w:rsidR="006116CF">
        <w:rPr>
          <w:rFonts w:cs="Arial"/>
        </w:rPr>
        <w:t>.</w:t>
      </w:r>
      <w:r w:rsidR="005A461A">
        <w:rPr>
          <w:rFonts w:cs="Arial"/>
        </w:rPr>
        <w:t>2025</w:t>
      </w:r>
      <w:r w:rsidR="006116CF">
        <w:rPr>
          <w:rFonts w:cs="Arial"/>
        </w:rPr>
        <w:t xml:space="preserve">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4174EAC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8A3B71">
        <w:rPr>
          <w:rFonts w:asciiTheme="minorHAnsi" w:eastAsia="Calibri" w:hAnsiTheme="minorHAnsi" w:cstheme="minorBidi"/>
          <w:b/>
          <w:lang w:eastAsia="en-US"/>
        </w:rPr>
        <w:t>1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22081084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DC1A2C">
        <w:rPr>
          <w:rFonts w:asciiTheme="minorHAnsi" w:eastAsia="Calibri" w:hAnsiTheme="minorHAnsi" w:cstheme="minorBidi"/>
          <w:bCs/>
          <w:lang w:eastAsia="en-US"/>
        </w:rPr>
        <w:t>(do povratka na rad privremeno nenazočne djelatnice, a najdulje do kraja školske godine 2024./2025.)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1F99DA2E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</w:t>
      </w:r>
      <w:r w:rsidR="005A461A" w:rsidRPr="005A461A">
        <w:rPr>
          <w:rFonts w:asciiTheme="minorHAnsi" w:eastAsia="Calibri" w:hAnsiTheme="minorHAnsi" w:cstheme="minorBidi"/>
          <w:bCs/>
          <w:lang w:eastAsia="en-US"/>
        </w:rPr>
        <w:t>nakon završetka natječajnog postupka i edukacije kandidata</w:t>
      </w:r>
      <w:r w:rsidR="005A461A">
        <w:rPr>
          <w:rFonts w:asciiTheme="minorHAnsi" w:eastAsia="Calibri" w:hAnsiTheme="minorHAnsi" w:cstheme="minorBidi"/>
          <w:bCs/>
          <w:lang w:eastAsia="en-US"/>
        </w:rPr>
        <w:t>.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4D017A02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5E1AE8" w:rsidRPr="005E1AE8">
        <w:t>112-02/</w:t>
      </w:r>
      <w:r w:rsidR="005A461A">
        <w:t>25</w:t>
      </w:r>
      <w:r w:rsidR="005E1AE8" w:rsidRPr="005E1AE8">
        <w:t>-01/</w:t>
      </w:r>
      <w:r w:rsidR="004F0ECA">
        <w:t>3</w:t>
      </w:r>
    </w:p>
    <w:p w14:paraId="2F0EA3F0" w14:textId="7101249E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</w:t>
      </w:r>
      <w:r w:rsidR="005A461A">
        <w:rPr>
          <w:rFonts w:asciiTheme="minorHAnsi" w:eastAsia="Calibri" w:hAnsiTheme="minorHAnsi" w:cstheme="minorBidi"/>
          <w:bCs/>
          <w:lang w:eastAsia="en-US"/>
        </w:rPr>
        <w:t>25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-1</w:t>
      </w:r>
    </w:p>
    <w:p w14:paraId="3F33E690" w14:textId="0BDE1E6C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Šenkovec, </w:t>
      </w:r>
      <w:r w:rsidR="004F0ECA">
        <w:rPr>
          <w:rFonts w:asciiTheme="minorHAnsi" w:eastAsia="Calibri" w:hAnsiTheme="minorHAnsi" w:cstheme="minorBidi"/>
          <w:bCs/>
          <w:lang w:eastAsia="en-US"/>
        </w:rPr>
        <w:t>24</w:t>
      </w:r>
      <w:r w:rsidR="005A461A">
        <w:rPr>
          <w:rFonts w:asciiTheme="minorHAnsi" w:eastAsia="Calibri" w:hAnsiTheme="minorHAnsi" w:cstheme="minorBidi"/>
          <w:bCs/>
          <w:lang w:eastAsia="en-US"/>
        </w:rPr>
        <w:t>.01.2025.</w:t>
      </w:r>
    </w:p>
    <w:bookmarkEnd w:id="0"/>
    <w:bookmarkEnd w:id="1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13790"/>
    <w:rsid w:val="00033865"/>
    <w:rsid w:val="00067906"/>
    <w:rsid w:val="000D767C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4F0ECA"/>
    <w:rsid w:val="00517694"/>
    <w:rsid w:val="00533D24"/>
    <w:rsid w:val="00596C0E"/>
    <w:rsid w:val="005A461A"/>
    <w:rsid w:val="005B0A05"/>
    <w:rsid w:val="005D3885"/>
    <w:rsid w:val="005D5ACB"/>
    <w:rsid w:val="005E1AE8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3B71"/>
    <w:rsid w:val="008E20A7"/>
    <w:rsid w:val="008E65FB"/>
    <w:rsid w:val="008F74FB"/>
    <w:rsid w:val="009264E6"/>
    <w:rsid w:val="00931B9B"/>
    <w:rsid w:val="00947301"/>
    <w:rsid w:val="009A76CE"/>
    <w:rsid w:val="009C268A"/>
    <w:rsid w:val="00A01F0A"/>
    <w:rsid w:val="00A0786B"/>
    <w:rsid w:val="00A15C39"/>
    <w:rsid w:val="00A43C48"/>
    <w:rsid w:val="00A67CEB"/>
    <w:rsid w:val="00A86566"/>
    <w:rsid w:val="00A976A4"/>
    <w:rsid w:val="00AA136D"/>
    <w:rsid w:val="00AA4F8A"/>
    <w:rsid w:val="00AA77CF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1DC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DC1A2C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28E0-F483-42DB-98AA-37EF861B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2024-07-16T06:08:00Z</cp:lastPrinted>
  <dcterms:created xsi:type="dcterms:W3CDTF">2025-01-24T10:05:00Z</dcterms:created>
  <dcterms:modified xsi:type="dcterms:W3CDTF">2025-01-24T10:05:00Z</dcterms:modified>
</cp:coreProperties>
</file>